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7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Barbara Janina Hołowacz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Adriana Dudała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Izabela Dybikowska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Józef Nowik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Bożena Irena Kępa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Stanisława Halina Zwaduch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Aleksandra Angelika Kawa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