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6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Ryszard Wojciech Zarzycki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Jerzy Gach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Zbigniew Radziszewski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Joanna Paulina Wezdecka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Maria Jolanta Dobrzańska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Klaudia Krystyna Cisakowska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Beata Łoś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Anna Jadwiga Nitkowska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Wojciech Jarosław Chrobak</w:t>
                  </w:r>
                </w:p>
                <w:p>
                  <w:pPr>
                    <w:pStyle w:val="style0"/>
                    <w:spacing w:after="240" w:before="0"/>
                  </w:pPr>
                  <w:bookmarkStart w:id="2" w:name="_GoBack2"/>
                  <w:bookmarkEnd w:id="2"/>
                  <w:r>
                    <w:rPr>
                      <w:sz w:val="28"/>
                      <w:szCs w:val="28"/>
                    </w:rPr>
                    <w:t>Józef Stanisław Dobrzański</w:t>
                  </w:r>
                </w:p>
                <w:p>
                  <w:pPr>
                    <w:pStyle w:val="style0"/>
                    <w:spacing w:after="240" w:before="0"/>
                  </w:pPr>
                  <w:bookmarkStart w:id="3" w:name="_GoBack3"/>
                  <w:bookmarkEnd w:id="3"/>
                  <w:r>
                    <w:rPr>
                      <w:sz w:val="28"/>
                      <w:szCs w:val="28"/>
                    </w:rPr>
                    <w:t>Elżbieta Barbara Góra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