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19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Agnieszka Krystyna Wandzel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Barbara Rak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Aleksandra Katarzyna Zając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Andrzej Józef Cichowski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Monika Kwiecień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Irena Anita Stanasiuk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Katarzyna Elżbieta Dereń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